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51967" w14:textId="0290E2F8" w:rsidR="002D6D1A" w:rsidRDefault="00CC44A8" w:rsidP="0025296C">
      <w:pPr>
        <w:pStyle w:val="NoSpacing"/>
        <w:jc w:val="center"/>
        <w:rPr>
          <w:b/>
          <w:bCs/>
          <w:sz w:val="28"/>
          <w:szCs w:val="28"/>
        </w:rPr>
      </w:pPr>
      <w:bookmarkStart w:id="0" w:name="_GoBack"/>
      <w:bookmarkEnd w:id="0"/>
      <w:r w:rsidRPr="0025296C">
        <w:rPr>
          <w:b/>
          <w:bCs/>
          <w:sz w:val="28"/>
          <w:szCs w:val="28"/>
        </w:rPr>
        <w:t xml:space="preserve">THE </w:t>
      </w:r>
      <w:r w:rsidR="008B3E21" w:rsidRPr="0025296C">
        <w:rPr>
          <w:b/>
          <w:bCs/>
          <w:sz w:val="28"/>
          <w:szCs w:val="28"/>
        </w:rPr>
        <w:t xml:space="preserve">2020 </w:t>
      </w:r>
      <w:r w:rsidR="00C37D8C" w:rsidRPr="0025296C">
        <w:rPr>
          <w:b/>
          <w:bCs/>
          <w:sz w:val="28"/>
          <w:szCs w:val="28"/>
        </w:rPr>
        <w:t xml:space="preserve">CARES ACT </w:t>
      </w:r>
      <w:r w:rsidR="006E7310">
        <w:rPr>
          <w:b/>
          <w:bCs/>
          <w:sz w:val="28"/>
          <w:szCs w:val="28"/>
        </w:rPr>
        <w:t xml:space="preserve">Summary </w:t>
      </w:r>
      <w:r w:rsidR="0025296C" w:rsidRPr="0025296C">
        <w:rPr>
          <w:b/>
          <w:bCs/>
          <w:sz w:val="28"/>
          <w:szCs w:val="28"/>
        </w:rPr>
        <w:t>for Individuals</w:t>
      </w:r>
      <w:r w:rsidR="006150F3">
        <w:rPr>
          <w:b/>
          <w:bCs/>
          <w:sz w:val="28"/>
          <w:szCs w:val="28"/>
        </w:rPr>
        <w:t xml:space="preserve">, </w:t>
      </w:r>
      <w:r w:rsidR="0025296C" w:rsidRPr="0025296C">
        <w:rPr>
          <w:b/>
          <w:bCs/>
          <w:sz w:val="28"/>
          <w:szCs w:val="28"/>
        </w:rPr>
        <w:t>Families</w:t>
      </w:r>
      <w:r w:rsidR="006150F3">
        <w:rPr>
          <w:b/>
          <w:bCs/>
          <w:sz w:val="28"/>
          <w:szCs w:val="28"/>
        </w:rPr>
        <w:t xml:space="preserve"> and Small Businesses</w:t>
      </w:r>
    </w:p>
    <w:p w14:paraId="03752CDD" w14:textId="77777777" w:rsidR="0025296C" w:rsidRPr="0025296C" w:rsidRDefault="0025296C" w:rsidP="0025296C">
      <w:pPr>
        <w:pStyle w:val="NoSpacing"/>
        <w:jc w:val="center"/>
        <w:rPr>
          <w:b/>
          <w:bCs/>
          <w:sz w:val="28"/>
          <w:szCs w:val="28"/>
        </w:rPr>
      </w:pPr>
    </w:p>
    <w:p w14:paraId="45C4D352" w14:textId="53A0420C" w:rsidR="00A46AB6" w:rsidRPr="008B3E21" w:rsidRDefault="002D6D1A" w:rsidP="0025296C">
      <w:pPr>
        <w:pStyle w:val="NoSpacing"/>
        <w:jc w:val="both"/>
      </w:pPr>
      <w:r w:rsidRPr="008B3E21">
        <w:t xml:space="preserve">The </w:t>
      </w:r>
      <w:r w:rsidR="004F4143" w:rsidRPr="008B3E21">
        <w:t xml:space="preserve">Coronavirus Aid, Relief, and Economic Security Act (the “CARES Act”) </w:t>
      </w:r>
      <w:r w:rsidRPr="008B3E21">
        <w:t xml:space="preserve">is a </w:t>
      </w:r>
      <w:r w:rsidRPr="0025296C">
        <w:rPr>
          <w:b/>
          <w:bCs/>
        </w:rPr>
        <w:t>$2 trillion</w:t>
      </w:r>
      <w:r w:rsidRPr="008B3E21">
        <w:t xml:space="preserve"> stimulus package </w:t>
      </w:r>
      <w:r w:rsidR="00C22A40" w:rsidRPr="008B3E21">
        <w:t xml:space="preserve">that </w:t>
      </w:r>
      <w:r w:rsidR="004F4143" w:rsidRPr="008B3E21">
        <w:t>aids</w:t>
      </w:r>
      <w:r w:rsidR="00C22A40" w:rsidRPr="008B3E21">
        <w:t xml:space="preserve"> American households and business</w:t>
      </w:r>
      <w:r w:rsidR="0025296C">
        <w:t>es</w:t>
      </w:r>
      <w:r w:rsidR="00C22A40" w:rsidRPr="008B3E21">
        <w:t xml:space="preserve"> affected by the coronavirus </w:t>
      </w:r>
      <w:r w:rsidR="004F4143" w:rsidRPr="008B3E21">
        <w:t xml:space="preserve">(COVID-19) </w:t>
      </w:r>
      <w:r w:rsidR="00C22A40" w:rsidRPr="008B3E21">
        <w:t xml:space="preserve">pandemic. Its components include stimulus payments to individuals, expanded unemployment coverage, student loan changes, different retirement account rules, Small business assistance and more. </w:t>
      </w:r>
    </w:p>
    <w:p w14:paraId="483DAC98" w14:textId="77777777" w:rsidR="0025296C" w:rsidRDefault="0025296C" w:rsidP="0025296C">
      <w:pPr>
        <w:pStyle w:val="NoSpacing"/>
      </w:pPr>
    </w:p>
    <w:p w14:paraId="52D64FD2" w14:textId="233520F2" w:rsidR="002D6D1A" w:rsidRPr="006150F3" w:rsidRDefault="002E2028" w:rsidP="0025296C">
      <w:pPr>
        <w:pStyle w:val="NoSpacing"/>
        <w:rPr>
          <w:b/>
          <w:bCs/>
          <w:sz w:val="24"/>
          <w:szCs w:val="24"/>
          <w:u w:val="single"/>
        </w:rPr>
      </w:pPr>
      <w:r w:rsidRPr="006150F3">
        <w:rPr>
          <w:b/>
          <w:bCs/>
          <w:sz w:val="24"/>
          <w:szCs w:val="24"/>
          <w:u w:val="single"/>
        </w:rPr>
        <w:t>RESOURCES AVAILABLE TO INDIVIDUALS AND FAMILIES</w:t>
      </w:r>
    </w:p>
    <w:p w14:paraId="56684D72" w14:textId="77777777" w:rsidR="0025296C" w:rsidRDefault="0025296C" w:rsidP="0025296C">
      <w:pPr>
        <w:pStyle w:val="NoSpacing"/>
        <w:rPr>
          <w:rStyle w:val="Strong"/>
          <w:rFonts w:asciiTheme="minorHAnsi" w:hAnsiTheme="minorHAnsi" w:cstheme="minorHAnsi"/>
          <w:color w:val="000000" w:themeColor="text1"/>
        </w:rPr>
      </w:pPr>
    </w:p>
    <w:p w14:paraId="7554DC02" w14:textId="5C4516C1" w:rsidR="0060327D" w:rsidRPr="008B3E21" w:rsidRDefault="006150F3" w:rsidP="0025296C">
      <w:pPr>
        <w:pStyle w:val="NoSpacing"/>
        <w:rPr>
          <w:rStyle w:val="Strong"/>
          <w:rFonts w:asciiTheme="minorHAnsi" w:hAnsiTheme="minorHAnsi" w:cstheme="minorHAnsi"/>
          <w:color w:val="000000" w:themeColor="text1"/>
        </w:rPr>
      </w:pPr>
      <w:r>
        <w:rPr>
          <w:rStyle w:val="Strong"/>
          <w:rFonts w:asciiTheme="minorHAnsi" w:hAnsiTheme="minorHAnsi" w:cstheme="minorHAnsi"/>
          <w:color w:val="000000" w:themeColor="text1"/>
        </w:rPr>
        <w:t>DIRECT PAYMENTS TO AMERCIAN WORKERS</w:t>
      </w:r>
    </w:p>
    <w:p w14:paraId="4AD1D6FC" w14:textId="77777777" w:rsidR="006150F3" w:rsidRDefault="0060327D" w:rsidP="00900387">
      <w:pPr>
        <w:pStyle w:val="NoSpacing"/>
        <w:numPr>
          <w:ilvl w:val="0"/>
          <w:numId w:val="1"/>
        </w:numPr>
        <w:jc w:val="both"/>
      </w:pPr>
      <w:r w:rsidRPr="008B3E21">
        <w:t xml:space="preserve">Taxpayers are entitled to direct tax rebates in the form of </w:t>
      </w:r>
      <w:r w:rsidR="00166F76" w:rsidRPr="008B3E21">
        <w:t>c</w:t>
      </w:r>
      <w:r w:rsidRPr="008B3E21">
        <w:t xml:space="preserve">ash payments </w:t>
      </w:r>
      <w:r w:rsidR="00166F76" w:rsidRPr="008B3E21">
        <w:t xml:space="preserve">of </w:t>
      </w:r>
      <w:r w:rsidR="00166F76" w:rsidRPr="006150F3">
        <w:rPr>
          <w:u w:val="single"/>
        </w:rPr>
        <w:t>up to</w:t>
      </w:r>
      <w:r w:rsidR="00166F76" w:rsidRPr="008B3E21">
        <w:t xml:space="preserve"> </w:t>
      </w:r>
      <w:r w:rsidRPr="006150F3">
        <w:rPr>
          <w:b/>
          <w:bCs/>
        </w:rPr>
        <w:t>$1,200</w:t>
      </w:r>
      <w:r w:rsidR="00166F76" w:rsidRPr="008B3E21">
        <w:t xml:space="preserve"> for individuals or </w:t>
      </w:r>
      <w:r w:rsidRPr="008B3E21">
        <w:t>$</w:t>
      </w:r>
      <w:r w:rsidRPr="006150F3">
        <w:rPr>
          <w:b/>
          <w:bCs/>
        </w:rPr>
        <w:t>2,400</w:t>
      </w:r>
      <w:r w:rsidRPr="008B3E21">
        <w:t xml:space="preserve"> </w:t>
      </w:r>
      <w:r w:rsidR="00166F76" w:rsidRPr="008B3E21">
        <w:t>for couples</w:t>
      </w:r>
      <w:r w:rsidRPr="008B3E21">
        <w:t xml:space="preserve">, with an additional </w:t>
      </w:r>
      <w:r w:rsidRPr="006150F3">
        <w:rPr>
          <w:b/>
          <w:bCs/>
        </w:rPr>
        <w:t>$500</w:t>
      </w:r>
      <w:r w:rsidRPr="008B3E21">
        <w:t xml:space="preserve"> cash payment available per child</w:t>
      </w:r>
      <w:r w:rsidR="00166F76" w:rsidRPr="008B3E21">
        <w:t xml:space="preserve"> for qualifying age (16 or under).</w:t>
      </w:r>
      <w:r w:rsidR="004F4143" w:rsidRPr="008B3E21">
        <w:t xml:space="preserve"> </w:t>
      </w:r>
    </w:p>
    <w:p w14:paraId="70C1E885" w14:textId="51277880" w:rsidR="0060327D" w:rsidRPr="008B3E21" w:rsidRDefault="0060327D" w:rsidP="00900387">
      <w:pPr>
        <w:pStyle w:val="NoSpacing"/>
        <w:numPr>
          <w:ilvl w:val="0"/>
          <w:numId w:val="1"/>
        </w:numPr>
        <w:jc w:val="both"/>
      </w:pPr>
      <w:r w:rsidRPr="008B3E21">
        <w:t xml:space="preserve">Full payment is available for Americans making </w:t>
      </w:r>
      <w:r w:rsidRPr="006150F3">
        <w:rPr>
          <w:u w:val="single"/>
        </w:rPr>
        <w:t>up to</w:t>
      </w:r>
      <w:r w:rsidRPr="008B3E21">
        <w:t xml:space="preserve"> </w:t>
      </w:r>
      <w:r w:rsidRPr="006150F3">
        <w:rPr>
          <w:b/>
          <w:bCs/>
        </w:rPr>
        <w:t>$75,000</w:t>
      </w:r>
      <w:r w:rsidRPr="008B3E21">
        <w:t xml:space="preserve"> (individuals) and </w:t>
      </w:r>
      <w:r w:rsidRPr="006150F3">
        <w:rPr>
          <w:b/>
          <w:bCs/>
        </w:rPr>
        <w:t>$150,000</w:t>
      </w:r>
      <w:r w:rsidRPr="008B3E21">
        <w:t xml:space="preserve"> (married)</w:t>
      </w:r>
      <w:r w:rsidR="006E7310">
        <w:t xml:space="preserve"> while phasing out at the $99,000 (Individuals) and the $198,000 (married) annual income levels. </w:t>
      </w:r>
    </w:p>
    <w:p w14:paraId="76032E90" w14:textId="77777777" w:rsidR="0025296C" w:rsidRPr="0025296C" w:rsidRDefault="0025296C" w:rsidP="0025296C">
      <w:pPr>
        <w:pStyle w:val="NormalWeb"/>
        <w:spacing w:before="0" w:beforeAutospacing="0" w:after="50" w:afterAutospacing="0"/>
        <w:jc w:val="both"/>
        <w:rPr>
          <w:rStyle w:val="Strong"/>
          <w:rFonts w:asciiTheme="minorHAnsi" w:hAnsiTheme="minorHAnsi" w:cstheme="minorHAnsi"/>
          <w:color w:val="000000" w:themeColor="text1"/>
          <w:sz w:val="16"/>
          <w:szCs w:val="16"/>
        </w:rPr>
      </w:pPr>
      <w:bookmarkStart w:id="1" w:name="_Hlk36467079"/>
    </w:p>
    <w:p w14:paraId="3AB5A10F" w14:textId="7E5BA5F0" w:rsidR="000C7B16" w:rsidRPr="008B3E21" w:rsidRDefault="000C7B16" w:rsidP="0025296C">
      <w:pPr>
        <w:pStyle w:val="NormalWeb"/>
        <w:spacing w:before="0" w:beforeAutospacing="0" w:after="50" w:afterAutospacing="0"/>
        <w:jc w:val="both"/>
        <w:rPr>
          <w:rStyle w:val="Strong"/>
          <w:rFonts w:asciiTheme="minorHAnsi" w:hAnsiTheme="minorHAnsi" w:cstheme="minorHAnsi"/>
          <w:color w:val="000000" w:themeColor="text1"/>
          <w:sz w:val="22"/>
          <w:szCs w:val="22"/>
        </w:rPr>
      </w:pPr>
      <w:r w:rsidRPr="008B3E21">
        <w:rPr>
          <w:rStyle w:val="Strong"/>
          <w:rFonts w:asciiTheme="minorHAnsi" w:hAnsiTheme="minorHAnsi" w:cstheme="minorHAnsi"/>
          <w:color w:val="000000" w:themeColor="text1"/>
          <w:sz w:val="22"/>
          <w:szCs w:val="22"/>
        </w:rPr>
        <w:t>R</w:t>
      </w:r>
      <w:r w:rsidR="006150F3">
        <w:rPr>
          <w:rStyle w:val="Strong"/>
          <w:rFonts w:asciiTheme="minorHAnsi" w:hAnsiTheme="minorHAnsi" w:cstheme="minorHAnsi"/>
          <w:color w:val="000000" w:themeColor="text1"/>
          <w:sz w:val="22"/>
          <w:szCs w:val="22"/>
        </w:rPr>
        <w:t>ETIREMENT ACCOUNTS</w:t>
      </w:r>
    </w:p>
    <w:bookmarkEnd w:id="1"/>
    <w:p w14:paraId="0BA15A0C" w14:textId="77777777" w:rsidR="006150F3" w:rsidRDefault="000C7B16" w:rsidP="00900387">
      <w:pPr>
        <w:pStyle w:val="NoSpacing"/>
        <w:numPr>
          <w:ilvl w:val="0"/>
          <w:numId w:val="2"/>
        </w:numPr>
        <w:jc w:val="both"/>
      </w:pPr>
      <w:r w:rsidRPr="008B3E21">
        <w:t xml:space="preserve">Individuals are allowed in 2020 to take distributions from their qualified retirement accounts, such as 401(k) plans and IRAs, </w:t>
      </w:r>
      <w:r w:rsidRPr="006150F3">
        <w:rPr>
          <w:u w:val="single"/>
        </w:rPr>
        <w:t>of up</w:t>
      </w:r>
      <w:r w:rsidRPr="008B3E21">
        <w:t xml:space="preserve"> to </w:t>
      </w:r>
      <w:r w:rsidRPr="006150F3">
        <w:rPr>
          <w:b/>
          <w:bCs/>
        </w:rPr>
        <w:t>$100,000</w:t>
      </w:r>
      <w:r w:rsidRPr="008B3E21">
        <w:t xml:space="preserve"> </w:t>
      </w:r>
      <w:r w:rsidRPr="006150F3">
        <w:rPr>
          <w:u w:val="single"/>
        </w:rPr>
        <w:t>withou</w:t>
      </w:r>
      <w:r w:rsidRPr="008B3E21">
        <w:t xml:space="preserve">t having to pay the </w:t>
      </w:r>
      <w:r w:rsidRPr="006150F3">
        <w:rPr>
          <w:b/>
          <w:bCs/>
        </w:rPr>
        <w:t>10%</w:t>
      </w:r>
      <w:r w:rsidRPr="008B3E21">
        <w:t xml:space="preserve"> penalty on early distributions if the distribution is related to adverse financial consequences as a result of contracting COVID-19, or related factors.</w:t>
      </w:r>
      <w:r w:rsidR="00303A05" w:rsidRPr="008B3E21">
        <w:t xml:space="preserve"> </w:t>
      </w:r>
    </w:p>
    <w:p w14:paraId="2D7CE4B7" w14:textId="6244FCC1" w:rsidR="000C7B16" w:rsidRDefault="00303A05" w:rsidP="00900387">
      <w:pPr>
        <w:pStyle w:val="NoSpacing"/>
        <w:numPr>
          <w:ilvl w:val="0"/>
          <w:numId w:val="2"/>
        </w:numPr>
        <w:jc w:val="both"/>
      </w:pPr>
      <w:r w:rsidRPr="008B3E21">
        <w:t>Any withdrawal amount required to be included in gross income may be spread out over a three-year period for this purpose.</w:t>
      </w:r>
    </w:p>
    <w:p w14:paraId="2FA46C7F" w14:textId="77777777" w:rsidR="0025296C" w:rsidRPr="0025296C" w:rsidRDefault="0025296C" w:rsidP="0025296C">
      <w:pPr>
        <w:pStyle w:val="NoSpacing"/>
        <w:rPr>
          <w:sz w:val="16"/>
          <w:szCs w:val="16"/>
        </w:rPr>
      </w:pPr>
    </w:p>
    <w:p w14:paraId="742329A3" w14:textId="517A1BBD" w:rsidR="00C00D09" w:rsidRPr="008B3E21" w:rsidRDefault="00C00D09" w:rsidP="0025296C">
      <w:pPr>
        <w:pStyle w:val="NoSpacing"/>
        <w:rPr>
          <w:rStyle w:val="Strong"/>
          <w:rFonts w:asciiTheme="minorHAnsi" w:hAnsiTheme="minorHAnsi" w:cstheme="minorHAnsi"/>
          <w:color w:val="000000" w:themeColor="text1"/>
        </w:rPr>
      </w:pPr>
      <w:r w:rsidRPr="008B3E21">
        <w:rPr>
          <w:rStyle w:val="Strong"/>
          <w:rFonts w:asciiTheme="minorHAnsi" w:hAnsiTheme="minorHAnsi" w:cstheme="minorHAnsi"/>
          <w:color w:val="000000" w:themeColor="text1"/>
        </w:rPr>
        <w:t>H</w:t>
      </w:r>
      <w:r w:rsidR="006150F3">
        <w:rPr>
          <w:rStyle w:val="Strong"/>
          <w:rFonts w:asciiTheme="minorHAnsi" w:hAnsiTheme="minorHAnsi" w:cstheme="minorHAnsi"/>
          <w:color w:val="000000" w:themeColor="text1"/>
        </w:rPr>
        <w:t>EALTHCARE and PAID SICK LEAVE PROVISIONS</w:t>
      </w:r>
    </w:p>
    <w:p w14:paraId="5191E5F2" w14:textId="77777777" w:rsidR="006150F3" w:rsidRDefault="00054243" w:rsidP="00900387">
      <w:pPr>
        <w:pStyle w:val="NoSpacing"/>
        <w:numPr>
          <w:ilvl w:val="0"/>
          <w:numId w:val="3"/>
        </w:numPr>
        <w:jc w:val="both"/>
      </w:pPr>
      <w:r w:rsidRPr="008B3E21">
        <w:t xml:space="preserve">The rules for high-deductible health plans (HDHPs) are amended to allow them to cover telehealth and other remote care services </w:t>
      </w:r>
      <w:r w:rsidRPr="006150F3">
        <w:rPr>
          <w:u w:val="single"/>
        </w:rPr>
        <w:t>without charging a deductible</w:t>
      </w:r>
      <w:r w:rsidR="00D45718" w:rsidRPr="008B3E21">
        <w:t>.</w:t>
      </w:r>
    </w:p>
    <w:p w14:paraId="5B2C153D" w14:textId="1A29D30A" w:rsidR="00054243" w:rsidRDefault="00D45718" w:rsidP="00900387">
      <w:pPr>
        <w:pStyle w:val="NoSpacing"/>
        <w:numPr>
          <w:ilvl w:val="0"/>
          <w:numId w:val="3"/>
        </w:numPr>
        <w:jc w:val="both"/>
      </w:pPr>
      <w:r w:rsidRPr="008B3E21">
        <w:t>O</w:t>
      </w:r>
      <w:r w:rsidR="00054243" w:rsidRPr="008B3E21">
        <w:t>ver-the-counter menstrual care products are added to the list of items that can be reimbursed out of a health savings account, Archer medical savings account, or health reimbursement arrangement.</w:t>
      </w:r>
    </w:p>
    <w:p w14:paraId="1E2E7BC1" w14:textId="77777777" w:rsidR="0025296C" w:rsidRPr="0025296C" w:rsidRDefault="0025296C" w:rsidP="0025296C">
      <w:pPr>
        <w:pStyle w:val="NoSpacing"/>
        <w:rPr>
          <w:sz w:val="16"/>
          <w:szCs w:val="16"/>
        </w:rPr>
      </w:pPr>
    </w:p>
    <w:p w14:paraId="1BD49896" w14:textId="77777777" w:rsidR="006150F3" w:rsidRDefault="0025296C" w:rsidP="0025296C">
      <w:pPr>
        <w:pStyle w:val="NoSpacing"/>
        <w:jc w:val="both"/>
        <w:rPr>
          <w:rStyle w:val="Strong"/>
          <w:rFonts w:asciiTheme="minorHAnsi" w:hAnsiTheme="minorHAnsi" w:cstheme="minorHAnsi"/>
          <w:color w:val="000000" w:themeColor="text1"/>
        </w:rPr>
      </w:pPr>
      <w:r>
        <w:rPr>
          <w:rStyle w:val="Strong"/>
          <w:rFonts w:asciiTheme="minorHAnsi" w:hAnsiTheme="minorHAnsi" w:cstheme="minorHAnsi"/>
          <w:color w:val="000000" w:themeColor="text1"/>
        </w:rPr>
        <w:t>R</w:t>
      </w:r>
      <w:r w:rsidR="006150F3">
        <w:rPr>
          <w:rStyle w:val="Strong"/>
          <w:rFonts w:asciiTheme="minorHAnsi" w:hAnsiTheme="minorHAnsi" w:cstheme="minorHAnsi"/>
          <w:color w:val="000000" w:themeColor="text1"/>
        </w:rPr>
        <w:t>ESIDENTIAL MORTGAGE FORBEARANCE and FORECLOSURE MORATORIUM</w:t>
      </w:r>
    </w:p>
    <w:p w14:paraId="2A9237FC" w14:textId="77777777" w:rsidR="006150F3" w:rsidRDefault="00891454" w:rsidP="00900387">
      <w:pPr>
        <w:pStyle w:val="NoSpacing"/>
        <w:numPr>
          <w:ilvl w:val="0"/>
          <w:numId w:val="4"/>
        </w:numPr>
        <w:jc w:val="both"/>
      </w:pPr>
      <w:r w:rsidRPr="008B3E21">
        <w:t>A</w:t>
      </w:r>
      <w:r w:rsidR="00687CA3" w:rsidRPr="008B3E21">
        <w:t xml:space="preserve"> borrower with a federally backed mortgage loan experiencing financial hardship as a result of the emergency may obtain a forbearance of up to </w:t>
      </w:r>
      <w:r w:rsidR="00687CA3" w:rsidRPr="006150F3">
        <w:rPr>
          <w:b/>
          <w:bCs/>
        </w:rPr>
        <w:t>180</w:t>
      </w:r>
      <w:r w:rsidR="00687CA3" w:rsidRPr="008B3E21">
        <w:t xml:space="preserve"> days, regardless of delinquency status, which may be extended for an additional period of up to </w:t>
      </w:r>
      <w:r w:rsidR="00687CA3" w:rsidRPr="006150F3">
        <w:rPr>
          <w:b/>
          <w:bCs/>
        </w:rPr>
        <w:t xml:space="preserve">180 </w:t>
      </w:r>
      <w:r w:rsidR="00687CA3" w:rsidRPr="008B3E21">
        <w:t xml:space="preserve">days at the request of the borrower. </w:t>
      </w:r>
    </w:p>
    <w:p w14:paraId="69BB61B2" w14:textId="77777777" w:rsidR="006150F3" w:rsidRDefault="00687CA3" w:rsidP="00900387">
      <w:pPr>
        <w:pStyle w:val="NoSpacing"/>
        <w:numPr>
          <w:ilvl w:val="0"/>
          <w:numId w:val="4"/>
        </w:numPr>
        <w:jc w:val="both"/>
      </w:pPr>
      <w:r w:rsidRPr="008B3E21">
        <w:t>During such forbearance, no fees, penalties, or added interest shall be charged on delayed payments.</w:t>
      </w:r>
    </w:p>
    <w:p w14:paraId="2D16AA58" w14:textId="0D9600AF" w:rsidR="00687CA3" w:rsidRDefault="00687CA3" w:rsidP="00900387">
      <w:pPr>
        <w:pStyle w:val="NoSpacing"/>
        <w:numPr>
          <w:ilvl w:val="0"/>
          <w:numId w:val="4"/>
        </w:numPr>
        <w:jc w:val="both"/>
      </w:pPr>
      <w:r w:rsidRPr="008B3E21">
        <w:t xml:space="preserve"> For the </w:t>
      </w:r>
      <w:r w:rsidRPr="006150F3">
        <w:rPr>
          <w:b/>
          <w:bCs/>
        </w:rPr>
        <w:t>60-day</w:t>
      </w:r>
      <w:r w:rsidRPr="008B3E21">
        <w:t xml:space="preserve"> period beginning </w:t>
      </w:r>
      <w:r w:rsidR="006150F3" w:rsidRPr="006150F3">
        <w:rPr>
          <w:b/>
          <w:bCs/>
        </w:rPr>
        <w:t>18 MAR</w:t>
      </w:r>
      <w:r w:rsidRPr="006150F3">
        <w:rPr>
          <w:b/>
          <w:bCs/>
        </w:rPr>
        <w:t xml:space="preserve"> 2020</w:t>
      </w:r>
      <w:r w:rsidRPr="008B3E21">
        <w:t xml:space="preserve">, no servicer of a federally backed mortgage may initiate any foreclosure or execute a foreclosure-related eviction (except in the case of vacant or abandoned property). </w:t>
      </w:r>
    </w:p>
    <w:p w14:paraId="667FC49E" w14:textId="77777777" w:rsidR="006150F3" w:rsidRPr="008B3E21" w:rsidRDefault="006150F3" w:rsidP="0025296C">
      <w:pPr>
        <w:pStyle w:val="NoSpacing"/>
        <w:jc w:val="both"/>
      </w:pPr>
    </w:p>
    <w:p w14:paraId="45BDFE7B" w14:textId="706072D7" w:rsidR="00687CA3" w:rsidRPr="008B3E21" w:rsidRDefault="00687CA3" w:rsidP="006150F3">
      <w:pPr>
        <w:pStyle w:val="NormalWeb"/>
        <w:spacing w:before="0" w:beforeAutospacing="0" w:after="50" w:afterAutospacing="0"/>
        <w:rPr>
          <w:rStyle w:val="Strong"/>
          <w:rFonts w:asciiTheme="minorHAnsi" w:hAnsiTheme="minorHAnsi" w:cstheme="minorHAnsi"/>
          <w:color w:val="000000" w:themeColor="text1"/>
          <w:sz w:val="22"/>
          <w:szCs w:val="22"/>
        </w:rPr>
      </w:pPr>
      <w:r w:rsidRPr="008B3E21">
        <w:rPr>
          <w:rStyle w:val="Strong"/>
          <w:rFonts w:asciiTheme="minorHAnsi" w:hAnsiTheme="minorHAnsi" w:cstheme="minorHAnsi"/>
          <w:color w:val="000000" w:themeColor="text1"/>
          <w:sz w:val="22"/>
          <w:szCs w:val="22"/>
        </w:rPr>
        <w:t>T</w:t>
      </w:r>
      <w:r w:rsidR="006150F3">
        <w:rPr>
          <w:rStyle w:val="Strong"/>
          <w:rFonts w:asciiTheme="minorHAnsi" w:hAnsiTheme="minorHAnsi" w:cstheme="minorHAnsi"/>
          <w:color w:val="000000" w:themeColor="text1"/>
          <w:sz w:val="22"/>
          <w:szCs w:val="22"/>
        </w:rPr>
        <w:t>EMPORARY RELIEF for FEDERAL STUDENT LOAN BORROWERS</w:t>
      </w:r>
    </w:p>
    <w:p w14:paraId="24D883BC" w14:textId="29D6CE7E" w:rsidR="00687CA3" w:rsidRDefault="00687CA3" w:rsidP="00900387">
      <w:pPr>
        <w:pStyle w:val="NoSpacing"/>
        <w:numPr>
          <w:ilvl w:val="0"/>
          <w:numId w:val="5"/>
        </w:numPr>
        <w:rPr>
          <w:b/>
          <w:bCs/>
        </w:rPr>
      </w:pPr>
      <w:r w:rsidRPr="008B3E21">
        <w:t xml:space="preserve">The Act automatically defers payments for federally owned student loans for six months, through </w:t>
      </w:r>
      <w:r w:rsidRPr="006150F3">
        <w:rPr>
          <w:b/>
          <w:bCs/>
        </w:rPr>
        <w:t>30</w:t>
      </w:r>
      <w:r w:rsidR="006150F3" w:rsidRPr="006150F3">
        <w:rPr>
          <w:b/>
          <w:bCs/>
        </w:rPr>
        <w:t xml:space="preserve"> SEP</w:t>
      </w:r>
      <w:r w:rsidRPr="006150F3">
        <w:rPr>
          <w:b/>
          <w:bCs/>
        </w:rPr>
        <w:t xml:space="preserve"> 2020.</w:t>
      </w:r>
    </w:p>
    <w:p w14:paraId="30BC93A3" w14:textId="77777777" w:rsidR="00615989" w:rsidRPr="008B3E21" w:rsidRDefault="00615989" w:rsidP="006150F3">
      <w:pPr>
        <w:pStyle w:val="NoSpacing"/>
      </w:pPr>
    </w:p>
    <w:p w14:paraId="1D593A8F" w14:textId="77777777" w:rsidR="006E7310" w:rsidRDefault="006E7310" w:rsidP="006150F3">
      <w:pPr>
        <w:pStyle w:val="NoSpacing"/>
        <w:rPr>
          <w:b/>
          <w:bCs/>
          <w:sz w:val="24"/>
          <w:szCs w:val="24"/>
          <w:u w:val="single"/>
        </w:rPr>
      </w:pPr>
      <w:bookmarkStart w:id="2" w:name="_Hlk36416795"/>
    </w:p>
    <w:p w14:paraId="3CF57878" w14:textId="77777777" w:rsidR="006E7310" w:rsidRDefault="006E7310" w:rsidP="006150F3">
      <w:pPr>
        <w:pStyle w:val="NoSpacing"/>
        <w:rPr>
          <w:b/>
          <w:bCs/>
          <w:sz w:val="24"/>
          <w:szCs w:val="24"/>
          <w:u w:val="single"/>
        </w:rPr>
      </w:pPr>
    </w:p>
    <w:p w14:paraId="28FCD016" w14:textId="77777777" w:rsidR="006E7310" w:rsidRDefault="006E7310" w:rsidP="006150F3">
      <w:pPr>
        <w:pStyle w:val="NoSpacing"/>
        <w:rPr>
          <w:b/>
          <w:bCs/>
          <w:sz w:val="24"/>
          <w:szCs w:val="24"/>
          <w:u w:val="single"/>
        </w:rPr>
      </w:pPr>
    </w:p>
    <w:p w14:paraId="550B526D" w14:textId="77777777" w:rsidR="006E7310" w:rsidRDefault="006E7310" w:rsidP="006150F3">
      <w:pPr>
        <w:pStyle w:val="NoSpacing"/>
        <w:rPr>
          <w:b/>
          <w:bCs/>
          <w:sz w:val="24"/>
          <w:szCs w:val="24"/>
          <w:u w:val="single"/>
        </w:rPr>
      </w:pPr>
    </w:p>
    <w:p w14:paraId="48EAE28F" w14:textId="05C7977D" w:rsidR="009E2A6F" w:rsidRDefault="00693988" w:rsidP="006150F3">
      <w:pPr>
        <w:pStyle w:val="NoSpacing"/>
        <w:rPr>
          <w:b/>
          <w:bCs/>
          <w:sz w:val="24"/>
          <w:szCs w:val="24"/>
          <w:u w:val="single"/>
        </w:rPr>
      </w:pPr>
      <w:r w:rsidRPr="006150F3">
        <w:rPr>
          <w:b/>
          <w:bCs/>
          <w:sz w:val="24"/>
          <w:szCs w:val="24"/>
          <w:u w:val="single"/>
        </w:rPr>
        <w:lastRenderedPageBreak/>
        <w:t>RESOURCES AVAILABLE FOR SMALL BUSINESS</w:t>
      </w:r>
      <w:r w:rsidR="00615989">
        <w:rPr>
          <w:b/>
          <w:bCs/>
          <w:sz w:val="24"/>
          <w:szCs w:val="24"/>
          <w:u w:val="single"/>
        </w:rPr>
        <w:t>ES</w:t>
      </w:r>
      <w:r w:rsidRPr="006150F3">
        <w:rPr>
          <w:b/>
          <w:bCs/>
          <w:sz w:val="24"/>
          <w:szCs w:val="24"/>
          <w:u w:val="single"/>
        </w:rPr>
        <w:t xml:space="preserve"> </w:t>
      </w:r>
    </w:p>
    <w:p w14:paraId="63E00CB4" w14:textId="77777777" w:rsidR="00615989" w:rsidRPr="006150F3" w:rsidRDefault="00615989" w:rsidP="006150F3">
      <w:pPr>
        <w:pStyle w:val="NoSpacing"/>
        <w:rPr>
          <w:b/>
          <w:bCs/>
          <w:sz w:val="24"/>
          <w:szCs w:val="24"/>
          <w:u w:val="single"/>
        </w:rPr>
      </w:pPr>
    </w:p>
    <w:p w14:paraId="7DF7BB34" w14:textId="02A6C92A" w:rsidR="00483247" w:rsidRPr="008B3E21" w:rsidRDefault="00483247" w:rsidP="00615989">
      <w:pPr>
        <w:pStyle w:val="NormalWeb"/>
        <w:spacing w:before="0" w:beforeAutospacing="0" w:after="50" w:afterAutospacing="0"/>
        <w:rPr>
          <w:rStyle w:val="Strong"/>
          <w:rFonts w:asciiTheme="minorHAnsi" w:hAnsiTheme="minorHAnsi" w:cstheme="minorHAnsi"/>
          <w:color w:val="000000" w:themeColor="text1"/>
          <w:sz w:val="22"/>
          <w:szCs w:val="22"/>
        </w:rPr>
      </w:pPr>
      <w:r w:rsidRPr="008B3E21">
        <w:rPr>
          <w:rStyle w:val="Strong"/>
          <w:rFonts w:asciiTheme="minorHAnsi" w:hAnsiTheme="minorHAnsi" w:cstheme="minorHAnsi"/>
          <w:color w:val="000000" w:themeColor="text1"/>
          <w:sz w:val="22"/>
          <w:szCs w:val="22"/>
        </w:rPr>
        <w:t>P</w:t>
      </w:r>
      <w:r w:rsidR="00615989">
        <w:rPr>
          <w:rStyle w:val="Strong"/>
          <w:rFonts w:asciiTheme="minorHAnsi" w:hAnsiTheme="minorHAnsi" w:cstheme="minorHAnsi"/>
          <w:color w:val="000000" w:themeColor="text1"/>
          <w:sz w:val="22"/>
          <w:szCs w:val="22"/>
        </w:rPr>
        <w:t xml:space="preserve">ANDEMIC UNEMPLOYMENT ASSISTANCE - </w:t>
      </w:r>
      <w:r w:rsidR="009462F3" w:rsidRPr="008B3E21">
        <w:rPr>
          <w:rStyle w:val="Strong"/>
          <w:rFonts w:asciiTheme="minorHAnsi" w:hAnsiTheme="minorHAnsi" w:cstheme="minorHAnsi"/>
          <w:color w:val="000000" w:themeColor="text1"/>
          <w:sz w:val="22"/>
          <w:szCs w:val="22"/>
        </w:rPr>
        <w:t>Section 2102</w:t>
      </w:r>
    </w:p>
    <w:bookmarkEnd w:id="2"/>
    <w:p w14:paraId="5D227077" w14:textId="38A31D0D" w:rsidR="00113D28" w:rsidRPr="008B3E21" w:rsidRDefault="00615989" w:rsidP="00615989">
      <w:pPr>
        <w:pStyle w:val="NoSpacing"/>
      </w:pPr>
      <w:r>
        <w:t>This section c</w:t>
      </w:r>
      <w:r w:rsidR="00113D28" w:rsidRPr="008B3E21">
        <w:t>overs individuals who would not otherwise be eligible for unemployment insurance and benefits – the self-employed, independent contractors, gig workers, part-time employment seekers, those who lack sufficient work history, or who have exhausted their unemployment benefits under existing schemes – provided they are able to self-certify that they are unemployed, partially unemployed, or unable or unavailable to work.</w:t>
      </w:r>
    </w:p>
    <w:p w14:paraId="35F00E4F" w14:textId="77777777" w:rsidR="00615989" w:rsidRDefault="00615989" w:rsidP="00615989">
      <w:pPr>
        <w:pStyle w:val="NoSpacing"/>
        <w:rPr>
          <w:rStyle w:val="Strong"/>
          <w:rFonts w:asciiTheme="minorHAnsi" w:hAnsiTheme="minorHAnsi" w:cstheme="minorHAnsi"/>
          <w:color w:val="000000" w:themeColor="text1"/>
        </w:rPr>
      </w:pPr>
    </w:p>
    <w:p w14:paraId="2FF4763A" w14:textId="49384013" w:rsidR="009D27FB" w:rsidRPr="008B3E21" w:rsidRDefault="009D27FB" w:rsidP="00615989">
      <w:pPr>
        <w:pStyle w:val="NoSpacing"/>
        <w:rPr>
          <w:rStyle w:val="Strong"/>
          <w:rFonts w:asciiTheme="minorHAnsi" w:hAnsiTheme="minorHAnsi" w:cstheme="minorHAnsi"/>
          <w:color w:val="000000" w:themeColor="text1"/>
        </w:rPr>
      </w:pPr>
      <w:r w:rsidRPr="008B3E21">
        <w:rPr>
          <w:rStyle w:val="Strong"/>
          <w:rFonts w:asciiTheme="minorHAnsi" w:hAnsiTheme="minorHAnsi" w:cstheme="minorHAnsi"/>
          <w:color w:val="000000" w:themeColor="text1"/>
        </w:rPr>
        <w:t>P</w:t>
      </w:r>
      <w:r w:rsidR="00615989">
        <w:rPr>
          <w:rStyle w:val="Strong"/>
          <w:rFonts w:asciiTheme="minorHAnsi" w:hAnsiTheme="minorHAnsi" w:cstheme="minorHAnsi"/>
          <w:color w:val="000000" w:themeColor="text1"/>
        </w:rPr>
        <w:t>AYCHECK PROTECTION PROGRAM (PPP)</w:t>
      </w:r>
      <w:r w:rsidRPr="008B3E21">
        <w:rPr>
          <w:rStyle w:val="Strong"/>
          <w:rFonts w:asciiTheme="minorHAnsi" w:hAnsiTheme="minorHAnsi" w:cstheme="minorHAnsi"/>
          <w:color w:val="000000" w:themeColor="text1"/>
        </w:rPr>
        <w:t>  </w:t>
      </w:r>
    </w:p>
    <w:p w14:paraId="70A44549" w14:textId="35DE2294" w:rsidR="00113D28" w:rsidRPr="008B3E21" w:rsidRDefault="00113D28" w:rsidP="00900387">
      <w:pPr>
        <w:pStyle w:val="NoSpacing"/>
        <w:numPr>
          <w:ilvl w:val="0"/>
          <w:numId w:val="5"/>
        </w:numPr>
      </w:pPr>
      <w:r w:rsidRPr="008B3E21">
        <w:t>The CARE Act includes a small business loan program, known as the Paycheck Protection Program (PPP), that makes available forgivable loans of up to $10 million Proof of payroll costs – very relaxed standards compare to previous SBA requirements.</w:t>
      </w:r>
    </w:p>
    <w:p w14:paraId="4CCA3F6A" w14:textId="77777777" w:rsidR="00693988" w:rsidRPr="008B3E21" w:rsidRDefault="00693988" w:rsidP="00C22A40">
      <w:pPr>
        <w:rPr>
          <w:rFonts w:asciiTheme="minorHAnsi" w:eastAsia="Times New Roman" w:hAnsiTheme="minorHAnsi" w:cstheme="minorHAnsi"/>
          <w:color w:val="000000" w:themeColor="text1"/>
        </w:rPr>
      </w:pPr>
    </w:p>
    <w:p w14:paraId="1921CC83" w14:textId="4CB91BFE" w:rsidR="0022378B" w:rsidRPr="008B3E21" w:rsidRDefault="0022378B" w:rsidP="00615989">
      <w:pPr>
        <w:pStyle w:val="NormalWeb"/>
        <w:spacing w:before="0" w:beforeAutospacing="0" w:after="50" w:afterAutospacing="0"/>
        <w:rPr>
          <w:rStyle w:val="Strong"/>
          <w:rFonts w:asciiTheme="minorHAnsi" w:hAnsiTheme="minorHAnsi" w:cstheme="minorHAnsi"/>
          <w:color w:val="000000" w:themeColor="text1"/>
          <w:sz w:val="22"/>
          <w:szCs w:val="22"/>
        </w:rPr>
      </w:pPr>
      <w:r w:rsidRPr="008B3E21">
        <w:rPr>
          <w:rStyle w:val="Strong"/>
          <w:rFonts w:asciiTheme="minorHAnsi" w:hAnsiTheme="minorHAnsi" w:cstheme="minorHAnsi"/>
          <w:color w:val="000000" w:themeColor="text1"/>
          <w:sz w:val="22"/>
          <w:szCs w:val="22"/>
        </w:rPr>
        <w:t>SBA E</w:t>
      </w:r>
      <w:r w:rsidR="00615989">
        <w:rPr>
          <w:rStyle w:val="Strong"/>
          <w:rFonts w:asciiTheme="minorHAnsi" w:hAnsiTheme="minorHAnsi" w:cstheme="minorHAnsi"/>
          <w:color w:val="000000" w:themeColor="text1"/>
          <w:sz w:val="22"/>
          <w:szCs w:val="22"/>
        </w:rPr>
        <w:t xml:space="preserve">CONOMIC INJURY DISASTER LOANS </w:t>
      </w:r>
      <w:r w:rsidRPr="008B3E21">
        <w:rPr>
          <w:rStyle w:val="Strong"/>
          <w:rFonts w:asciiTheme="minorHAnsi" w:hAnsiTheme="minorHAnsi" w:cstheme="minorHAnsi"/>
          <w:color w:val="000000" w:themeColor="text1"/>
          <w:sz w:val="22"/>
          <w:szCs w:val="22"/>
        </w:rPr>
        <w:t>(EIDL)</w:t>
      </w:r>
    </w:p>
    <w:p w14:paraId="336836CB" w14:textId="570E60D6" w:rsidR="00445BCD" w:rsidRPr="008B3E21" w:rsidRDefault="00CC44A8" w:rsidP="00615989">
      <w:pPr>
        <w:pStyle w:val="NoSpacing"/>
      </w:pPr>
      <w:r w:rsidRPr="008B3E21">
        <w:t>The SBA’s Economic Injury Disaster Loans (EIDLs) are designed to help meet working capital needs caused by the disaster and are available regardless of whether the business suffered any physical property damage. T</w:t>
      </w:r>
      <w:r w:rsidR="00875EE8" w:rsidRPr="008B3E21">
        <w:t>his is the first time a virus or pandemic event has been defined as a disaster.</w:t>
      </w:r>
    </w:p>
    <w:p w14:paraId="16E79B54" w14:textId="77777777" w:rsidR="00615989" w:rsidRPr="00615989" w:rsidRDefault="00615989" w:rsidP="00615989">
      <w:pPr>
        <w:pStyle w:val="NoSpacing"/>
        <w:rPr>
          <w:sz w:val="16"/>
          <w:szCs w:val="16"/>
        </w:rPr>
      </w:pPr>
    </w:p>
    <w:p w14:paraId="70428516" w14:textId="7473BB5C" w:rsidR="00113D28" w:rsidRPr="00615989" w:rsidRDefault="00113D28" w:rsidP="00615989">
      <w:pPr>
        <w:pStyle w:val="NoSpacing"/>
        <w:rPr>
          <w:b/>
          <w:bCs/>
        </w:rPr>
      </w:pPr>
      <w:r w:rsidRPr="00615989">
        <w:rPr>
          <w:b/>
          <w:bCs/>
        </w:rPr>
        <w:t xml:space="preserve">Who is eligible? </w:t>
      </w:r>
    </w:p>
    <w:p w14:paraId="42F87EB3" w14:textId="77777777" w:rsidR="00113D28" w:rsidRPr="008B3E21" w:rsidRDefault="00113D28" w:rsidP="00900387">
      <w:pPr>
        <w:pStyle w:val="NoSpacing"/>
        <w:numPr>
          <w:ilvl w:val="0"/>
          <w:numId w:val="5"/>
        </w:numPr>
        <w:rPr>
          <w:rFonts w:asciiTheme="minorHAnsi" w:hAnsiTheme="minorHAnsi" w:cstheme="minorHAnsi"/>
          <w:color w:val="000000" w:themeColor="text1"/>
        </w:rPr>
      </w:pPr>
      <w:r w:rsidRPr="008B3E21">
        <w:rPr>
          <w:rFonts w:asciiTheme="minorHAnsi" w:hAnsiTheme="minorHAnsi" w:cstheme="minorHAnsi"/>
          <w:color w:val="000000" w:themeColor="text1"/>
        </w:rPr>
        <w:t xml:space="preserve">Companies with fewer than </w:t>
      </w:r>
      <w:r w:rsidRPr="00615989">
        <w:rPr>
          <w:rFonts w:asciiTheme="minorHAnsi" w:hAnsiTheme="minorHAnsi" w:cstheme="minorHAnsi"/>
          <w:b/>
          <w:bCs/>
          <w:color w:val="000000" w:themeColor="text1"/>
        </w:rPr>
        <w:t xml:space="preserve">500 </w:t>
      </w:r>
      <w:r w:rsidRPr="008B3E21">
        <w:rPr>
          <w:rFonts w:asciiTheme="minorHAnsi" w:hAnsiTheme="minorHAnsi" w:cstheme="minorHAnsi"/>
          <w:color w:val="000000" w:themeColor="text1"/>
        </w:rPr>
        <w:t xml:space="preserve">employees – some limited exceptions </w:t>
      </w:r>
    </w:p>
    <w:p w14:paraId="52216D79" w14:textId="77777777" w:rsidR="00113D28" w:rsidRPr="008B3E21" w:rsidRDefault="00113D28" w:rsidP="00900387">
      <w:pPr>
        <w:pStyle w:val="NoSpacing"/>
        <w:numPr>
          <w:ilvl w:val="0"/>
          <w:numId w:val="5"/>
        </w:numPr>
        <w:rPr>
          <w:rFonts w:asciiTheme="minorHAnsi" w:hAnsiTheme="minorHAnsi" w:cstheme="minorHAnsi"/>
          <w:color w:val="000000" w:themeColor="text1"/>
        </w:rPr>
      </w:pPr>
      <w:r w:rsidRPr="008B3E21">
        <w:rPr>
          <w:rFonts w:asciiTheme="minorHAnsi" w:hAnsiTheme="minorHAnsi" w:cstheme="minorHAnsi"/>
          <w:color w:val="000000" w:themeColor="text1"/>
        </w:rPr>
        <w:t xml:space="preserve">Certain individual independent contractors, cooperatives, ESOPs and tribal small business concerns. </w:t>
      </w:r>
    </w:p>
    <w:p w14:paraId="73D27B14" w14:textId="677189A1" w:rsidR="00113D28" w:rsidRPr="008B3E21" w:rsidRDefault="00113D28" w:rsidP="00900387">
      <w:pPr>
        <w:pStyle w:val="NoSpacing"/>
        <w:numPr>
          <w:ilvl w:val="0"/>
          <w:numId w:val="5"/>
        </w:numPr>
        <w:rPr>
          <w:rFonts w:asciiTheme="minorHAnsi" w:hAnsiTheme="minorHAnsi" w:cstheme="minorHAnsi"/>
          <w:color w:val="000000" w:themeColor="text1"/>
        </w:rPr>
      </w:pPr>
      <w:r w:rsidRPr="008B3E21">
        <w:rPr>
          <w:rFonts w:asciiTheme="minorHAnsi" w:hAnsiTheme="minorHAnsi" w:cstheme="minorHAnsi"/>
          <w:color w:val="000000" w:themeColor="text1"/>
        </w:rPr>
        <w:t xml:space="preserve">Suffered an economic injury    </w:t>
      </w:r>
    </w:p>
    <w:p w14:paraId="52346E6E" w14:textId="77777777" w:rsidR="00615989" w:rsidRPr="00615989" w:rsidRDefault="00615989" w:rsidP="00615989">
      <w:pPr>
        <w:pStyle w:val="NormalWeb"/>
        <w:spacing w:before="0" w:beforeAutospacing="0" w:after="50" w:afterAutospacing="0"/>
        <w:ind w:left="720"/>
        <w:rPr>
          <w:rStyle w:val="Strong"/>
          <w:rFonts w:asciiTheme="minorHAnsi" w:hAnsiTheme="minorHAnsi" w:cstheme="minorHAnsi"/>
          <w:color w:val="000000" w:themeColor="text1"/>
          <w:sz w:val="16"/>
          <w:szCs w:val="16"/>
        </w:rPr>
      </w:pPr>
    </w:p>
    <w:p w14:paraId="51B9441F" w14:textId="56056C77" w:rsidR="00980527" w:rsidRPr="008B3E21" w:rsidRDefault="00980527" w:rsidP="00615989">
      <w:pPr>
        <w:pStyle w:val="NormalWeb"/>
        <w:spacing w:before="0" w:beforeAutospacing="0" w:after="50" w:afterAutospacing="0"/>
        <w:rPr>
          <w:rStyle w:val="Strong"/>
          <w:rFonts w:asciiTheme="minorHAnsi" w:hAnsiTheme="minorHAnsi" w:cstheme="minorHAnsi"/>
          <w:color w:val="000000" w:themeColor="text1"/>
          <w:sz w:val="22"/>
          <w:szCs w:val="22"/>
        </w:rPr>
      </w:pPr>
      <w:r w:rsidRPr="008B3E21">
        <w:rPr>
          <w:rStyle w:val="Strong"/>
          <w:rFonts w:asciiTheme="minorHAnsi" w:hAnsiTheme="minorHAnsi" w:cstheme="minorHAnsi"/>
          <w:color w:val="000000" w:themeColor="text1"/>
          <w:sz w:val="22"/>
          <w:szCs w:val="22"/>
        </w:rPr>
        <w:t>I</w:t>
      </w:r>
      <w:r w:rsidR="00615989">
        <w:rPr>
          <w:rStyle w:val="Strong"/>
          <w:rFonts w:asciiTheme="minorHAnsi" w:hAnsiTheme="minorHAnsi" w:cstheme="minorHAnsi"/>
          <w:color w:val="000000" w:themeColor="text1"/>
          <w:sz w:val="22"/>
          <w:szCs w:val="22"/>
        </w:rPr>
        <w:t>MMEDIATE</w:t>
      </w:r>
      <w:r w:rsidRPr="008B3E21">
        <w:rPr>
          <w:rStyle w:val="Strong"/>
          <w:rFonts w:asciiTheme="minorHAnsi" w:hAnsiTheme="minorHAnsi" w:cstheme="minorHAnsi"/>
          <w:color w:val="000000" w:themeColor="text1"/>
          <w:sz w:val="22"/>
          <w:szCs w:val="22"/>
        </w:rPr>
        <w:t> EIDL $10,000 G</w:t>
      </w:r>
      <w:r w:rsidR="00615989">
        <w:rPr>
          <w:rStyle w:val="Strong"/>
          <w:rFonts w:asciiTheme="minorHAnsi" w:hAnsiTheme="minorHAnsi" w:cstheme="minorHAnsi"/>
          <w:color w:val="000000" w:themeColor="text1"/>
          <w:sz w:val="22"/>
          <w:szCs w:val="22"/>
        </w:rPr>
        <w:t>RANTS</w:t>
      </w:r>
      <w:r w:rsidRPr="008B3E21">
        <w:rPr>
          <w:rStyle w:val="Strong"/>
          <w:rFonts w:asciiTheme="minorHAnsi" w:hAnsiTheme="minorHAnsi" w:cstheme="minorHAnsi"/>
          <w:color w:val="000000" w:themeColor="text1"/>
          <w:sz w:val="22"/>
          <w:szCs w:val="22"/>
        </w:rPr>
        <w:t>  </w:t>
      </w:r>
    </w:p>
    <w:p w14:paraId="605DD55F" w14:textId="7886248F" w:rsidR="00113D28" w:rsidRPr="008B3E21" w:rsidRDefault="00113D28" w:rsidP="00900387">
      <w:pPr>
        <w:pStyle w:val="NoSpacing"/>
        <w:numPr>
          <w:ilvl w:val="0"/>
          <w:numId w:val="6"/>
        </w:numPr>
      </w:pPr>
      <w:r w:rsidRPr="008B3E21">
        <w:t xml:space="preserve">The CARES Act also makes available grants for up to </w:t>
      </w:r>
      <w:r w:rsidRPr="00615989">
        <w:rPr>
          <w:b/>
          <w:bCs/>
        </w:rPr>
        <w:t>$10,000</w:t>
      </w:r>
      <w:r w:rsidRPr="008B3E21">
        <w:t xml:space="preserve"> for small businesses that have applied for the Economic Injury Disaster Loans and meet other eligibility requirements.</w:t>
      </w:r>
    </w:p>
    <w:p w14:paraId="0E5AFF5A" w14:textId="77777777" w:rsidR="00615989" w:rsidRDefault="00615989" w:rsidP="00615989">
      <w:pPr>
        <w:pStyle w:val="NoSpacing"/>
      </w:pPr>
    </w:p>
    <w:p w14:paraId="6E586A21" w14:textId="1078CCE7" w:rsidR="00DD641F" w:rsidRPr="008B3E21" w:rsidRDefault="006E7310" w:rsidP="00615989">
      <w:pPr>
        <w:pStyle w:val="NoSpacing"/>
        <w:jc w:val="both"/>
        <w:rPr>
          <w:rStyle w:val="Strong"/>
          <w:rFonts w:asciiTheme="minorHAnsi" w:hAnsiTheme="minorHAnsi" w:cstheme="minorHAnsi"/>
          <w:color w:val="000000" w:themeColor="text1"/>
        </w:rPr>
      </w:pPr>
      <w:hyperlink r:id="rId11" w:history="1">
        <w:r w:rsidR="00DD641F" w:rsidRPr="008B3E21">
          <w:rPr>
            <w:rStyle w:val="Strong"/>
            <w:rFonts w:asciiTheme="minorHAnsi" w:hAnsiTheme="minorHAnsi" w:cstheme="minorHAnsi"/>
            <w:color w:val="000000" w:themeColor="text1"/>
          </w:rPr>
          <w:t>D</w:t>
        </w:r>
        <w:r w:rsidR="00615989">
          <w:rPr>
            <w:rStyle w:val="Strong"/>
            <w:rFonts w:asciiTheme="minorHAnsi" w:hAnsiTheme="minorHAnsi" w:cstheme="minorHAnsi"/>
            <w:color w:val="000000" w:themeColor="text1"/>
          </w:rPr>
          <w:t>EBT RELIEF FOR NEW and EXISTING SBA BORROWERS</w:t>
        </w:r>
      </w:hyperlink>
    </w:p>
    <w:p w14:paraId="556C9A15" w14:textId="77777777" w:rsidR="00615989" w:rsidRDefault="00615989" w:rsidP="00900387">
      <w:pPr>
        <w:pStyle w:val="NoSpacing"/>
        <w:numPr>
          <w:ilvl w:val="0"/>
          <w:numId w:val="6"/>
        </w:numPr>
        <w:jc w:val="both"/>
      </w:pPr>
      <w:r>
        <w:t xml:space="preserve">The </w:t>
      </w:r>
      <w:r w:rsidR="00113D28" w:rsidRPr="008B3E21">
        <w:t xml:space="preserve">CARES Act provides immediate relief to small businesses with SBA 7(a), 504, and microloans.  </w:t>
      </w:r>
    </w:p>
    <w:p w14:paraId="34A33E7D" w14:textId="32ED51EC" w:rsidR="00113D28" w:rsidRPr="008B3E21" w:rsidRDefault="00113D28" w:rsidP="00900387">
      <w:pPr>
        <w:pStyle w:val="NoSpacing"/>
        <w:numPr>
          <w:ilvl w:val="0"/>
          <w:numId w:val="6"/>
        </w:numPr>
        <w:jc w:val="both"/>
      </w:pPr>
      <w:r w:rsidRPr="008B3E21">
        <w:t>For existing borrowers, SBA will cover all loan payments on these SBA loans, including principal, interest, and fees, for six months.  This relief will also be available to new borrowers who take out loans within six months of the enactment of the CARES Act.</w:t>
      </w:r>
    </w:p>
    <w:sectPr w:rsidR="00113D28" w:rsidRPr="008B3E21" w:rsidSect="008B3E21">
      <w:footerReference w:type="default" r:id="rId12"/>
      <w:endnotePr>
        <w:numFmt w:val="decimal"/>
      </w:endnotePr>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C37A" w14:textId="77777777" w:rsidR="0018098B" w:rsidRDefault="0018098B" w:rsidP="00F948DC">
      <w:r>
        <w:separator/>
      </w:r>
    </w:p>
  </w:endnote>
  <w:endnote w:type="continuationSeparator" w:id="0">
    <w:p w14:paraId="43135197" w14:textId="77777777" w:rsidR="0018098B" w:rsidRDefault="0018098B" w:rsidP="00F9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532597"/>
      <w:docPartObj>
        <w:docPartGallery w:val="Page Numbers (Bottom of Page)"/>
        <w:docPartUnique/>
      </w:docPartObj>
    </w:sdtPr>
    <w:sdtEndPr>
      <w:rPr>
        <w:noProof/>
      </w:rPr>
    </w:sdtEndPr>
    <w:sdtContent>
      <w:p w14:paraId="00CE8C13" w14:textId="520E430A" w:rsidR="006150F3" w:rsidRDefault="006150F3">
        <w:pPr>
          <w:pStyle w:val="Footer"/>
          <w:jc w:val="right"/>
        </w:pPr>
        <w:r/>
        <w:r>
          <w:instrText xml:space="preserve"/>
        </w:r>
        <w:r/>
        <w:r>
          <w:rPr>
            <w:noProof/>
          </w:rPr>
          <w:t>2</w:t>
        </w:r>
        <w:r>
          <w:rPr>
            <w:noProof/>
          </w:rPr>
        </w:r>
      </w:p>
    </w:sdtContent>
  </w:sdt>
  <w:p w14:paraId="16E05C8B" w14:textId="77777777" w:rsidR="006150F3" w:rsidRDefault="0061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1C4E" w14:textId="77777777" w:rsidR="0018098B" w:rsidRDefault="0018098B" w:rsidP="00F948DC">
      <w:r>
        <w:separator/>
      </w:r>
    </w:p>
  </w:footnote>
  <w:footnote w:type="continuationSeparator" w:id="0">
    <w:p w14:paraId="2D93F797" w14:textId="77777777" w:rsidR="0018098B" w:rsidRDefault="0018098B" w:rsidP="00F94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2333"/>
    <w:multiLevelType w:val="hybridMultilevel"/>
    <w:tmpl w:val="881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77FBE"/>
    <w:multiLevelType w:val="hybridMultilevel"/>
    <w:tmpl w:val="F14E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66EAD"/>
    <w:multiLevelType w:val="hybridMultilevel"/>
    <w:tmpl w:val="7F20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135F3"/>
    <w:multiLevelType w:val="hybridMultilevel"/>
    <w:tmpl w:val="6A18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054D5"/>
    <w:multiLevelType w:val="hybridMultilevel"/>
    <w:tmpl w:val="7716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D3D69"/>
    <w:multiLevelType w:val="hybridMultilevel"/>
    <w:tmpl w:val="6F4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C6"/>
    <w:rsid w:val="00043F8F"/>
    <w:rsid w:val="00051092"/>
    <w:rsid w:val="00054243"/>
    <w:rsid w:val="000669E2"/>
    <w:rsid w:val="00083A02"/>
    <w:rsid w:val="000C7B16"/>
    <w:rsid w:val="000D57B6"/>
    <w:rsid w:val="00112F1D"/>
    <w:rsid w:val="0011380F"/>
    <w:rsid w:val="00113D28"/>
    <w:rsid w:val="0013171F"/>
    <w:rsid w:val="00166F76"/>
    <w:rsid w:val="0018098B"/>
    <w:rsid w:val="001B4385"/>
    <w:rsid w:val="0022378B"/>
    <w:rsid w:val="002479D4"/>
    <w:rsid w:val="0025296C"/>
    <w:rsid w:val="0028127A"/>
    <w:rsid w:val="002D6D1A"/>
    <w:rsid w:val="002E2028"/>
    <w:rsid w:val="002F1BC2"/>
    <w:rsid w:val="002F7E85"/>
    <w:rsid w:val="00303A05"/>
    <w:rsid w:val="003A3F6F"/>
    <w:rsid w:val="00407CF0"/>
    <w:rsid w:val="004155B2"/>
    <w:rsid w:val="00445BCD"/>
    <w:rsid w:val="0046476A"/>
    <w:rsid w:val="00483247"/>
    <w:rsid w:val="00495738"/>
    <w:rsid w:val="004971D0"/>
    <w:rsid w:val="004B36AE"/>
    <w:rsid w:val="004B3BAB"/>
    <w:rsid w:val="004C0DA8"/>
    <w:rsid w:val="004D1A0A"/>
    <w:rsid w:val="004E2E6D"/>
    <w:rsid w:val="004F4143"/>
    <w:rsid w:val="005464BA"/>
    <w:rsid w:val="00564127"/>
    <w:rsid w:val="005B506D"/>
    <w:rsid w:val="005B515B"/>
    <w:rsid w:val="005B5BAE"/>
    <w:rsid w:val="005D0F1E"/>
    <w:rsid w:val="005E0BE3"/>
    <w:rsid w:val="005F5BBA"/>
    <w:rsid w:val="0060327D"/>
    <w:rsid w:val="00605D03"/>
    <w:rsid w:val="006150F3"/>
    <w:rsid w:val="00615989"/>
    <w:rsid w:val="00615E6A"/>
    <w:rsid w:val="00687CA3"/>
    <w:rsid w:val="00693988"/>
    <w:rsid w:val="006A15A0"/>
    <w:rsid w:val="006E7310"/>
    <w:rsid w:val="006F07F3"/>
    <w:rsid w:val="006F13F3"/>
    <w:rsid w:val="00703C4E"/>
    <w:rsid w:val="00727960"/>
    <w:rsid w:val="00796BB9"/>
    <w:rsid w:val="007B47B7"/>
    <w:rsid w:val="007F64E2"/>
    <w:rsid w:val="00875EE8"/>
    <w:rsid w:val="00891454"/>
    <w:rsid w:val="008B3E21"/>
    <w:rsid w:val="008B4038"/>
    <w:rsid w:val="00900387"/>
    <w:rsid w:val="009462F3"/>
    <w:rsid w:val="00980527"/>
    <w:rsid w:val="009877C6"/>
    <w:rsid w:val="009B6FE8"/>
    <w:rsid w:val="009D27FB"/>
    <w:rsid w:val="009E2A6F"/>
    <w:rsid w:val="009F6477"/>
    <w:rsid w:val="00A064BD"/>
    <w:rsid w:val="00A14E6A"/>
    <w:rsid w:val="00A308F9"/>
    <w:rsid w:val="00A46AB6"/>
    <w:rsid w:val="00A730EA"/>
    <w:rsid w:val="00A919DC"/>
    <w:rsid w:val="00AB3460"/>
    <w:rsid w:val="00AE5289"/>
    <w:rsid w:val="00AE5FDC"/>
    <w:rsid w:val="00B31041"/>
    <w:rsid w:val="00B937CE"/>
    <w:rsid w:val="00C00D09"/>
    <w:rsid w:val="00C10541"/>
    <w:rsid w:val="00C22A40"/>
    <w:rsid w:val="00C37D8C"/>
    <w:rsid w:val="00C62340"/>
    <w:rsid w:val="00C66D9A"/>
    <w:rsid w:val="00CC44A8"/>
    <w:rsid w:val="00D13D07"/>
    <w:rsid w:val="00D1419C"/>
    <w:rsid w:val="00D45718"/>
    <w:rsid w:val="00D547C5"/>
    <w:rsid w:val="00DD641F"/>
    <w:rsid w:val="00DF16A3"/>
    <w:rsid w:val="00E71C21"/>
    <w:rsid w:val="00EC6679"/>
    <w:rsid w:val="00ED60ED"/>
    <w:rsid w:val="00F0347B"/>
    <w:rsid w:val="00F948DC"/>
    <w:rsid w:val="00FC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EBD2A"/>
  <w15:chartTrackingRefBased/>
  <w15:docId w15:val="{93A52F0E-4DF3-41F1-936B-D93B9AAF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6D1A"/>
    <w:pPr>
      <w:spacing w:after="0" w:line="240" w:lineRule="auto"/>
    </w:pPr>
    <w:rPr>
      <w:rFonts w:ascii="Calibri" w:hAnsi="Calibri" w:cs="Calibri"/>
    </w:rPr>
  </w:style>
  <w:style w:type="paragraph" w:styleId="Heading1">
    <w:name w:val="heading 1"/>
    <w:basedOn w:val="Normal"/>
    <w:link w:val="Heading1Char"/>
    <w:uiPriority w:val="9"/>
    <w:qFormat/>
    <w:rsid w:val="009D27F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7C6"/>
    <w:rPr>
      <w:color w:val="0563C1"/>
      <w:u w:val="single"/>
    </w:rPr>
  </w:style>
  <w:style w:type="character" w:customStyle="1" w:styleId="Heading1Char">
    <w:name w:val="Heading 1 Char"/>
    <w:basedOn w:val="DefaultParagraphFont"/>
    <w:link w:val="Heading1"/>
    <w:uiPriority w:val="9"/>
    <w:rsid w:val="009D27FB"/>
    <w:rPr>
      <w:rFonts w:ascii="Times New Roman" w:eastAsia="Times New Roman" w:hAnsi="Times New Roman" w:cs="Times New Roman"/>
      <w:b/>
      <w:bCs/>
      <w:kern w:val="36"/>
      <w:sz w:val="48"/>
      <w:szCs w:val="48"/>
    </w:rPr>
  </w:style>
  <w:style w:type="character" w:customStyle="1" w:styleId="postmeta-date">
    <w:name w:val="post__meta-date"/>
    <w:basedOn w:val="DefaultParagraphFont"/>
    <w:rsid w:val="009D27FB"/>
  </w:style>
  <w:style w:type="paragraph" w:styleId="NormalWeb">
    <w:name w:val="Normal (Web)"/>
    <w:basedOn w:val="Normal"/>
    <w:uiPriority w:val="99"/>
    <w:unhideWhenUsed/>
    <w:rsid w:val="009D27F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D27FB"/>
    <w:rPr>
      <w:i/>
      <w:iCs/>
    </w:rPr>
  </w:style>
  <w:style w:type="character" w:styleId="Strong">
    <w:name w:val="Strong"/>
    <w:basedOn w:val="DefaultParagraphFont"/>
    <w:uiPriority w:val="22"/>
    <w:qFormat/>
    <w:rsid w:val="00FC728E"/>
    <w:rPr>
      <w:b/>
      <w:bCs/>
    </w:rPr>
  </w:style>
  <w:style w:type="paragraph" w:styleId="ListParagraph">
    <w:name w:val="List Paragraph"/>
    <w:basedOn w:val="Normal"/>
    <w:uiPriority w:val="34"/>
    <w:qFormat/>
    <w:rsid w:val="001B4385"/>
    <w:pPr>
      <w:ind w:left="720"/>
      <w:contextualSpacing/>
    </w:pPr>
  </w:style>
  <w:style w:type="paragraph" w:styleId="Header">
    <w:name w:val="header"/>
    <w:basedOn w:val="Normal"/>
    <w:link w:val="HeaderChar"/>
    <w:uiPriority w:val="99"/>
    <w:unhideWhenUsed/>
    <w:rsid w:val="00F948DC"/>
    <w:pPr>
      <w:tabs>
        <w:tab w:val="center" w:pos="4680"/>
        <w:tab w:val="right" w:pos="9360"/>
      </w:tabs>
    </w:pPr>
  </w:style>
  <w:style w:type="character" w:customStyle="1" w:styleId="HeaderChar">
    <w:name w:val="Header Char"/>
    <w:basedOn w:val="DefaultParagraphFont"/>
    <w:link w:val="Header"/>
    <w:uiPriority w:val="99"/>
    <w:rsid w:val="00F948DC"/>
    <w:rPr>
      <w:rFonts w:ascii="Calibri" w:hAnsi="Calibri" w:cs="Calibri"/>
    </w:rPr>
  </w:style>
  <w:style w:type="paragraph" w:styleId="Footer">
    <w:name w:val="footer"/>
    <w:basedOn w:val="Normal"/>
    <w:link w:val="FooterChar"/>
    <w:uiPriority w:val="99"/>
    <w:unhideWhenUsed/>
    <w:rsid w:val="00F948DC"/>
    <w:pPr>
      <w:tabs>
        <w:tab w:val="center" w:pos="4680"/>
        <w:tab w:val="right" w:pos="9360"/>
      </w:tabs>
    </w:pPr>
  </w:style>
  <w:style w:type="character" w:customStyle="1" w:styleId="FooterChar">
    <w:name w:val="Footer Char"/>
    <w:basedOn w:val="DefaultParagraphFont"/>
    <w:link w:val="Footer"/>
    <w:uiPriority w:val="99"/>
    <w:rsid w:val="00F948DC"/>
    <w:rPr>
      <w:rFonts w:ascii="Calibri" w:hAnsi="Calibri" w:cs="Calibri"/>
    </w:rPr>
  </w:style>
  <w:style w:type="paragraph" w:styleId="FootnoteText">
    <w:name w:val="footnote text"/>
    <w:basedOn w:val="Normal"/>
    <w:link w:val="FootnoteTextChar"/>
    <w:uiPriority w:val="99"/>
    <w:semiHidden/>
    <w:unhideWhenUsed/>
    <w:rsid w:val="00796BB9"/>
    <w:rPr>
      <w:sz w:val="20"/>
      <w:szCs w:val="20"/>
    </w:rPr>
  </w:style>
  <w:style w:type="character" w:customStyle="1" w:styleId="FootnoteTextChar">
    <w:name w:val="Footnote Text Char"/>
    <w:basedOn w:val="DefaultParagraphFont"/>
    <w:link w:val="FootnoteText"/>
    <w:uiPriority w:val="99"/>
    <w:semiHidden/>
    <w:rsid w:val="00796BB9"/>
    <w:rPr>
      <w:rFonts w:ascii="Calibri" w:hAnsi="Calibri" w:cs="Calibri"/>
      <w:sz w:val="20"/>
      <w:szCs w:val="20"/>
    </w:rPr>
  </w:style>
  <w:style w:type="character" w:styleId="FootnoteReference">
    <w:name w:val="footnote reference"/>
    <w:basedOn w:val="DefaultParagraphFont"/>
    <w:uiPriority w:val="99"/>
    <w:semiHidden/>
    <w:unhideWhenUsed/>
    <w:rsid w:val="00796BB9"/>
    <w:rPr>
      <w:vertAlign w:val="superscript"/>
    </w:rPr>
  </w:style>
  <w:style w:type="paragraph" w:styleId="EndnoteText">
    <w:name w:val="endnote text"/>
    <w:basedOn w:val="Normal"/>
    <w:link w:val="EndnoteTextChar"/>
    <w:uiPriority w:val="99"/>
    <w:unhideWhenUsed/>
    <w:rsid w:val="00796BB9"/>
    <w:rPr>
      <w:sz w:val="20"/>
      <w:szCs w:val="20"/>
    </w:rPr>
  </w:style>
  <w:style w:type="character" w:customStyle="1" w:styleId="EndnoteTextChar">
    <w:name w:val="Endnote Text Char"/>
    <w:basedOn w:val="DefaultParagraphFont"/>
    <w:link w:val="EndnoteText"/>
    <w:uiPriority w:val="99"/>
    <w:rsid w:val="00796BB9"/>
    <w:rPr>
      <w:rFonts w:ascii="Calibri" w:hAnsi="Calibri" w:cs="Calibri"/>
      <w:sz w:val="20"/>
      <w:szCs w:val="20"/>
    </w:rPr>
  </w:style>
  <w:style w:type="character" w:styleId="EndnoteReference">
    <w:name w:val="endnote reference"/>
    <w:basedOn w:val="DefaultParagraphFont"/>
    <w:uiPriority w:val="99"/>
    <w:semiHidden/>
    <w:unhideWhenUsed/>
    <w:rsid w:val="00796BB9"/>
    <w:rPr>
      <w:vertAlign w:val="superscript"/>
    </w:rPr>
  </w:style>
  <w:style w:type="character" w:styleId="UnresolvedMention">
    <w:name w:val="Unresolved Mention"/>
    <w:basedOn w:val="DefaultParagraphFont"/>
    <w:uiPriority w:val="99"/>
    <w:semiHidden/>
    <w:unhideWhenUsed/>
    <w:rsid w:val="00D13D07"/>
    <w:rPr>
      <w:color w:val="605E5C"/>
      <w:shd w:val="clear" w:color="auto" w:fill="E1DFDD"/>
    </w:rPr>
  </w:style>
  <w:style w:type="paragraph" w:styleId="NoSpacing">
    <w:name w:val="No Spacing"/>
    <w:uiPriority w:val="1"/>
    <w:qFormat/>
    <w:rsid w:val="0025296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188">
      <w:bodyDiv w:val="1"/>
      <w:marLeft w:val="0"/>
      <w:marRight w:val="0"/>
      <w:marTop w:val="0"/>
      <w:marBottom w:val="0"/>
      <w:divBdr>
        <w:top w:val="none" w:sz="0" w:space="0" w:color="auto"/>
        <w:left w:val="none" w:sz="0" w:space="0" w:color="auto"/>
        <w:bottom w:val="none" w:sz="0" w:space="0" w:color="auto"/>
        <w:right w:val="none" w:sz="0" w:space="0" w:color="auto"/>
      </w:divBdr>
    </w:div>
    <w:div w:id="48697881">
      <w:bodyDiv w:val="1"/>
      <w:marLeft w:val="0"/>
      <w:marRight w:val="0"/>
      <w:marTop w:val="0"/>
      <w:marBottom w:val="0"/>
      <w:divBdr>
        <w:top w:val="none" w:sz="0" w:space="0" w:color="auto"/>
        <w:left w:val="none" w:sz="0" w:space="0" w:color="auto"/>
        <w:bottom w:val="none" w:sz="0" w:space="0" w:color="auto"/>
        <w:right w:val="none" w:sz="0" w:space="0" w:color="auto"/>
      </w:divBdr>
    </w:div>
    <w:div w:id="336998687">
      <w:bodyDiv w:val="1"/>
      <w:marLeft w:val="0"/>
      <w:marRight w:val="0"/>
      <w:marTop w:val="0"/>
      <w:marBottom w:val="0"/>
      <w:divBdr>
        <w:top w:val="none" w:sz="0" w:space="0" w:color="auto"/>
        <w:left w:val="none" w:sz="0" w:space="0" w:color="auto"/>
        <w:bottom w:val="none" w:sz="0" w:space="0" w:color="auto"/>
        <w:right w:val="none" w:sz="0" w:space="0" w:color="auto"/>
      </w:divBdr>
    </w:div>
    <w:div w:id="338851613">
      <w:bodyDiv w:val="1"/>
      <w:marLeft w:val="0"/>
      <w:marRight w:val="0"/>
      <w:marTop w:val="0"/>
      <w:marBottom w:val="0"/>
      <w:divBdr>
        <w:top w:val="none" w:sz="0" w:space="0" w:color="auto"/>
        <w:left w:val="none" w:sz="0" w:space="0" w:color="auto"/>
        <w:bottom w:val="none" w:sz="0" w:space="0" w:color="auto"/>
        <w:right w:val="none" w:sz="0" w:space="0" w:color="auto"/>
      </w:divBdr>
    </w:div>
    <w:div w:id="344136497">
      <w:bodyDiv w:val="1"/>
      <w:marLeft w:val="0"/>
      <w:marRight w:val="0"/>
      <w:marTop w:val="0"/>
      <w:marBottom w:val="0"/>
      <w:divBdr>
        <w:top w:val="none" w:sz="0" w:space="0" w:color="auto"/>
        <w:left w:val="none" w:sz="0" w:space="0" w:color="auto"/>
        <w:bottom w:val="none" w:sz="0" w:space="0" w:color="auto"/>
        <w:right w:val="none" w:sz="0" w:space="0" w:color="auto"/>
      </w:divBdr>
    </w:div>
    <w:div w:id="539633758">
      <w:bodyDiv w:val="1"/>
      <w:marLeft w:val="0"/>
      <w:marRight w:val="0"/>
      <w:marTop w:val="0"/>
      <w:marBottom w:val="0"/>
      <w:divBdr>
        <w:top w:val="none" w:sz="0" w:space="0" w:color="auto"/>
        <w:left w:val="none" w:sz="0" w:space="0" w:color="auto"/>
        <w:bottom w:val="none" w:sz="0" w:space="0" w:color="auto"/>
        <w:right w:val="none" w:sz="0" w:space="0" w:color="auto"/>
      </w:divBdr>
    </w:div>
    <w:div w:id="723680278">
      <w:bodyDiv w:val="1"/>
      <w:marLeft w:val="0"/>
      <w:marRight w:val="0"/>
      <w:marTop w:val="0"/>
      <w:marBottom w:val="0"/>
      <w:divBdr>
        <w:top w:val="none" w:sz="0" w:space="0" w:color="auto"/>
        <w:left w:val="none" w:sz="0" w:space="0" w:color="auto"/>
        <w:bottom w:val="none" w:sz="0" w:space="0" w:color="auto"/>
        <w:right w:val="none" w:sz="0" w:space="0" w:color="auto"/>
      </w:divBdr>
    </w:div>
    <w:div w:id="886649488">
      <w:bodyDiv w:val="1"/>
      <w:marLeft w:val="0"/>
      <w:marRight w:val="0"/>
      <w:marTop w:val="0"/>
      <w:marBottom w:val="0"/>
      <w:divBdr>
        <w:top w:val="none" w:sz="0" w:space="0" w:color="auto"/>
        <w:left w:val="none" w:sz="0" w:space="0" w:color="auto"/>
        <w:bottom w:val="none" w:sz="0" w:space="0" w:color="auto"/>
        <w:right w:val="none" w:sz="0" w:space="0" w:color="auto"/>
      </w:divBdr>
    </w:div>
    <w:div w:id="1246259365">
      <w:bodyDiv w:val="1"/>
      <w:marLeft w:val="0"/>
      <w:marRight w:val="0"/>
      <w:marTop w:val="0"/>
      <w:marBottom w:val="0"/>
      <w:divBdr>
        <w:top w:val="none" w:sz="0" w:space="0" w:color="auto"/>
        <w:left w:val="none" w:sz="0" w:space="0" w:color="auto"/>
        <w:bottom w:val="none" w:sz="0" w:space="0" w:color="auto"/>
        <w:right w:val="none" w:sz="0" w:space="0" w:color="auto"/>
      </w:divBdr>
    </w:div>
    <w:div w:id="1267345087">
      <w:bodyDiv w:val="1"/>
      <w:marLeft w:val="0"/>
      <w:marRight w:val="0"/>
      <w:marTop w:val="0"/>
      <w:marBottom w:val="0"/>
      <w:divBdr>
        <w:top w:val="none" w:sz="0" w:space="0" w:color="auto"/>
        <w:left w:val="none" w:sz="0" w:space="0" w:color="auto"/>
        <w:bottom w:val="none" w:sz="0" w:space="0" w:color="auto"/>
        <w:right w:val="none" w:sz="0" w:space="0" w:color="auto"/>
      </w:divBdr>
    </w:div>
    <w:div w:id="1281761158">
      <w:bodyDiv w:val="1"/>
      <w:marLeft w:val="0"/>
      <w:marRight w:val="0"/>
      <w:marTop w:val="0"/>
      <w:marBottom w:val="0"/>
      <w:divBdr>
        <w:top w:val="none" w:sz="0" w:space="0" w:color="auto"/>
        <w:left w:val="none" w:sz="0" w:space="0" w:color="auto"/>
        <w:bottom w:val="none" w:sz="0" w:space="0" w:color="auto"/>
        <w:right w:val="none" w:sz="0" w:space="0" w:color="auto"/>
      </w:divBdr>
    </w:div>
    <w:div w:id="1572276087">
      <w:bodyDiv w:val="1"/>
      <w:marLeft w:val="0"/>
      <w:marRight w:val="0"/>
      <w:marTop w:val="0"/>
      <w:marBottom w:val="0"/>
      <w:divBdr>
        <w:top w:val="none" w:sz="0" w:space="0" w:color="auto"/>
        <w:left w:val="none" w:sz="0" w:space="0" w:color="auto"/>
        <w:bottom w:val="none" w:sz="0" w:space="0" w:color="auto"/>
        <w:right w:val="none" w:sz="0" w:space="0" w:color="auto"/>
      </w:divBdr>
    </w:div>
    <w:div w:id="1739669753">
      <w:bodyDiv w:val="1"/>
      <w:marLeft w:val="0"/>
      <w:marRight w:val="0"/>
      <w:marTop w:val="0"/>
      <w:marBottom w:val="0"/>
      <w:divBdr>
        <w:top w:val="none" w:sz="0" w:space="0" w:color="auto"/>
        <w:left w:val="none" w:sz="0" w:space="0" w:color="auto"/>
        <w:bottom w:val="none" w:sz="0" w:space="0" w:color="auto"/>
        <w:right w:val="none" w:sz="0" w:space="0" w:color="auto"/>
      </w:divBdr>
      <w:divsChild>
        <w:div w:id="1401178195">
          <w:marLeft w:val="0"/>
          <w:marRight w:val="0"/>
          <w:marTop w:val="0"/>
          <w:marBottom w:val="0"/>
          <w:divBdr>
            <w:top w:val="none" w:sz="0" w:space="0" w:color="auto"/>
            <w:left w:val="none" w:sz="0" w:space="0" w:color="auto"/>
            <w:bottom w:val="none" w:sz="0" w:space="0" w:color="auto"/>
            <w:right w:val="none" w:sz="0" w:space="0" w:color="auto"/>
          </w:divBdr>
        </w:div>
        <w:div w:id="763455778">
          <w:marLeft w:val="0"/>
          <w:marRight w:val="0"/>
          <w:marTop w:val="0"/>
          <w:marBottom w:val="0"/>
          <w:divBdr>
            <w:top w:val="none" w:sz="0" w:space="0" w:color="auto"/>
            <w:left w:val="none" w:sz="0" w:space="0" w:color="auto"/>
            <w:bottom w:val="none" w:sz="0" w:space="0" w:color="auto"/>
            <w:right w:val="none" w:sz="0" w:space="0" w:color="auto"/>
          </w:divBdr>
        </w:div>
        <w:div w:id="1814828036">
          <w:marLeft w:val="0"/>
          <w:marRight w:val="0"/>
          <w:marTop w:val="0"/>
          <w:marBottom w:val="0"/>
          <w:divBdr>
            <w:top w:val="none" w:sz="0" w:space="0" w:color="auto"/>
            <w:left w:val="none" w:sz="0" w:space="0" w:color="auto"/>
            <w:bottom w:val="none" w:sz="0" w:space="0" w:color="auto"/>
            <w:right w:val="none" w:sz="0" w:space="0" w:color="auto"/>
          </w:divBdr>
        </w:div>
      </w:divsChild>
    </w:div>
    <w:div w:id="1915889105">
      <w:bodyDiv w:val="1"/>
      <w:marLeft w:val="0"/>
      <w:marRight w:val="0"/>
      <w:marTop w:val="0"/>
      <w:marBottom w:val="0"/>
      <w:divBdr>
        <w:top w:val="none" w:sz="0" w:space="0" w:color="auto"/>
        <w:left w:val="none" w:sz="0" w:space="0" w:color="auto"/>
        <w:bottom w:val="none" w:sz="0" w:space="0" w:color="auto"/>
        <w:right w:val="none" w:sz="0" w:space="0" w:color="auto"/>
      </w:divBdr>
    </w:div>
    <w:div w:id="1961644311">
      <w:bodyDiv w:val="1"/>
      <w:marLeft w:val="0"/>
      <w:marRight w:val="0"/>
      <w:marTop w:val="0"/>
      <w:marBottom w:val="0"/>
      <w:divBdr>
        <w:top w:val="none" w:sz="0" w:space="0" w:color="auto"/>
        <w:left w:val="none" w:sz="0" w:space="0" w:color="auto"/>
        <w:bottom w:val="none" w:sz="0" w:space="0" w:color="auto"/>
        <w:right w:val="none" w:sz="0" w:space="0" w:color="auto"/>
      </w:divBdr>
    </w:div>
    <w:div w:id="19723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F518FB048234298C1692AD97C079D" ma:contentTypeVersion="13" ma:contentTypeDescription="Create a new document." ma:contentTypeScope="" ma:versionID="ee63147ba66d605b9e0f281d0d670499">
  <xsd:schema xmlns:xsd="http://www.w3.org/2001/XMLSchema" xmlns:xs="http://www.w3.org/2001/XMLSchema" xmlns:p="http://schemas.microsoft.com/office/2006/metadata/properties" xmlns:ns3="493d7fac-ce23-4ac9-8014-b47c99ce6a96" xmlns:ns4="71f250cc-a627-45ec-8803-e803d8cc96a3" targetNamespace="http://schemas.microsoft.com/office/2006/metadata/properties" ma:root="true" ma:fieldsID="046a5661b614659ecb07058081ed6c00" ns3:_="" ns4:_="">
    <xsd:import namespace="493d7fac-ce23-4ac9-8014-b47c99ce6a96"/>
    <xsd:import namespace="71f250cc-a627-45ec-8803-e803d8cc96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7fac-ce23-4ac9-8014-b47c99ce6a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250cc-a627-45ec-8803-e803d8cc9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74DE7-E88B-4708-A360-F105D80E9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7fac-ce23-4ac9-8014-b47c99ce6a96"/>
    <ds:schemaRef ds:uri="71f250cc-a627-45ec-8803-e803d8cc9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4C745-5C19-4794-B3D6-392AEAC615BC}">
  <ds:schemaRefs>
    <ds:schemaRef ds:uri="http://schemas.microsoft.com/sharepoint/v3/contenttype/forms"/>
  </ds:schemaRefs>
</ds:datastoreItem>
</file>

<file path=customXml/itemProps3.xml><?xml version="1.0" encoding="utf-8"?>
<ds:datastoreItem xmlns:ds="http://schemas.openxmlformats.org/officeDocument/2006/customXml" ds:itemID="{1333DDEF-C330-4BD8-ADFA-64BDD5643E53}">
  <ds:schemaRefs>
    <ds:schemaRef ds:uri="http://schemas.microsoft.com/office/2006/documentManagement/types"/>
    <ds:schemaRef ds:uri="http://purl.org/dc/dcmitype/"/>
    <ds:schemaRef ds:uri="71f250cc-a627-45ec-8803-e803d8cc96a3"/>
    <ds:schemaRef ds:uri="http://www.w3.org/XML/1998/namespace"/>
    <ds:schemaRef ds:uri="http://schemas.microsoft.com/office/infopath/2007/PartnerControls"/>
    <ds:schemaRef ds:uri="http://purl.org/dc/elements/1.1/"/>
    <ds:schemaRef ds:uri="493d7fac-ce23-4ac9-8014-b47c99ce6a96"/>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0244A98-3ADA-4D91-AB46-52ACD32A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Robbins</dc:creator>
  <cp:keywords/>
  <dc:description/>
  <cp:lastModifiedBy>Craig Sorensen/North America/Brenntag</cp:lastModifiedBy>
  <cp:revision>2</cp:revision>
  <dcterms:created xsi:type="dcterms:W3CDTF">2020-04-01T15:18:00Z</dcterms:created>
  <dcterms:modified xsi:type="dcterms:W3CDTF">2020-04-01T15:18:00Z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0x0101000AEF518FB048234298C1692AD97C079D</vt:lpwstr>
  </property>
</Properties>
</file>